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A1C9C" w14:textId="5DB0BDE8" w:rsidR="00456F50" w:rsidRPr="004F5EEA" w:rsidRDefault="006C16C3" w:rsidP="00D877CC">
      <w:pPr>
        <w:pStyle w:val="Heading1"/>
        <w:spacing w:before="0"/>
        <w:rPr>
          <w:rFonts w:ascii="Century Gothic" w:hAnsi="Century Gothic"/>
          <w:b/>
          <w:bCs/>
          <w:color w:val="693065"/>
        </w:rPr>
      </w:pPr>
      <w:r w:rsidRPr="004F5EEA">
        <w:rPr>
          <w:rFonts w:ascii="Century Gothic" w:hAnsi="Century Gothic"/>
          <w:b/>
          <w:bCs/>
          <w:color w:val="693065"/>
        </w:rPr>
        <w:t>FAQ</w:t>
      </w:r>
      <w:r w:rsidR="008A586B">
        <w:rPr>
          <w:rFonts w:ascii="Century Gothic" w:hAnsi="Century Gothic"/>
          <w:b/>
          <w:bCs/>
          <w:color w:val="693065"/>
        </w:rPr>
        <w:t>: Education benefits in 2026</w:t>
      </w:r>
    </w:p>
    <w:p w14:paraId="621717FC" w14:textId="0A0EC152" w:rsidR="00456F50" w:rsidRPr="004F5EEA" w:rsidRDefault="009C43A3" w:rsidP="00456F50">
      <w:pPr>
        <w:pStyle w:val="Heading2"/>
        <w:rPr>
          <w:rFonts w:ascii="Century Gothic" w:hAnsi="Century Gothic"/>
          <w:b/>
          <w:bCs/>
          <w:color w:val="9F5FA6"/>
          <w:sz w:val="24"/>
          <w:szCs w:val="24"/>
        </w:rPr>
      </w:pPr>
      <w:r w:rsidRPr="009C43A3">
        <w:rPr>
          <w:rFonts w:ascii="Century Gothic" w:hAnsi="Century Gothic"/>
          <w:b/>
          <w:bCs/>
          <w:color w:val="9F5FA6"/>
          <w:sz w:val="24"/>
          <w:szCs w:val="24"/>
        </w:rPr>
        <w:t>What's happening</w:t>
      </w:r>
      <w:r w:rsidR="006C16C3" w:rsidRPr="006C16C3">
        <w:rPr>
          <w:rFonts w:ascii="Century Gothic" w:hAnsi="Century Gothic"/>
          <w:b/>
          <w:bCs/>
          <w:color w:val="9F5FA6"/>
          <w:sz w:val="24"/>
          <w:szCs w:val="24"/>
        </w:rPr>
        <w:t>?</w:t>
      </w:r>
    </w:p>
    <w:p w14:paraId="61993A50" w14:textId="0868E213" w:rsidR="00FE7E23" w:rsidRPr="00FE7E23" w:rsidRDefault="00FE7E23" w:rsidP="00FE7E23">
      <w:pPr>
        <w:rPr>
          <w:rFonts w:ascii="Century Gothic" w:hAnsi="Century Gothic"/>
        </w:rPr>
      </w:pPr>
      <w:bookmarkStart w:id="0" w:name="_Hlk221105679"/>
      <w:r w:rsidRPr="00FE7E23">
        <w:rPr>
          <w:rFonts w:ascii="Century Gothic" w:hAnsi="Century Gothic"/>
        </w:rPr>
        <w:t xml:space="preserve">Roper St. Francis Healthcare (RSFH) is making learning more accessible by partnering with </w:t>
      </w:r>
      <w:r w:rsidRPr="00FE7E23">
        <w:rPr>
          <w:rFonts w:ascii="Century Gothic" w:hAnsi="Century Gothic"/>
          <w:b/>
          <w:bCs/>
        </w:rPr>
        <w:t>Guild Education</w:t>
      </w:r>
      <w:r w:rsidRPr="00FE7E23">
        <w:rPr>
          <w:rFonts w:ascii="Century Gothic" w:hAnsi="Century Gothic"/>
        </w:rPr>
        <w:t>, the leader in education benefits, to expand opportunities for teammates’ personal and professional growth.</w:t>
      </w:r>
    </w:p>
    <w:p w14:paraId="29F45946" w14:textId="427E753E" w:rsidR="00FE7E23" w:rsidRPr="00FE7E23" w:rsidRDefault="00FE7E23" w:rsidP="00FE7E23">
      <w:pPr>
        <w:rPr>
          <w:rFonts w:ascii="Century Gothic" w:hAnsi="Century Gothic"/>
        </w:rPr>
      </w:pPr>
      <w:r w:rsidRPr="00FE7E23">
        <w:rPr>
          <w:rFonts w:ascii="Century Gothic" w:hAnsi="Century Gothic"/>
        </w:rPr>
        <w:t>Whether you’re finishing a degree, starting a new certification or pursuing clinical excellence, these updates are designed to empower teammates at every stage of their career.</w:t>
      </w:r>
    </w:p>
    <w:p w14:paraId="18F9898B" w14:textId="35F56A81" w:rsidR="00D877CC" w:rsidRDefault="00FE7E23" w:rsidP="00FE7E23">
      <w:pPr>
        <w:rPr>
          <w:rFonts w:ascii="Century Gothic" w:hAnsi="Century Gothic"/>
        </w:rPr>
      </w:pPr>
      <w:r w:rsidRPr="00FE7E23">
        <w:rPr>
          <w:rFonts w:ascii="Century Gothic" w:hAnsi="Century Gothic"/>
        </w:rPr>
        <w:t xml:space="preserve">Our new partnership with Guild provides access to a wide range of educational opportunities, including </w:t>
      </w:r>
      <w:r w:rsidRPr="00FE7E23">
        <w:rPr>
          <w:rFonts w:ascii="Century Gothic" w:hAnsi="Century Gothic"/>
          <w:b/>
          <w:bCs/>
        </w:rPr>
        <w:t>up to $5,250 per year</w:t>
      </w:r>
      <w:r w:rsidRPr="00FE7E23">
        <w:rPr>
          <w:rFonts w:ascii="Century Gothic" w:hAnsi="Century Gothic"/>
        </w:rPr>
        <w:t xml:space="preserve"> in tuition-covered programs supporting </w:t>
      </w:r>
      <w:r w:rsidRPr="00FE7E23">
        <w:rPr>
          <w:rFonts w:ascii="Century Gothic" w:hAnsi="Century Gothic"/>
          <w:b/>
          <w:bCs/>
        </w:rPr>
        <w:t>clinical pathways</w:t>
      </w:r>
      <w:r w:rsidRPr="00FE7E23">
        <w:rPr>
          <w:rFonts w:ascii="Century Gothic" w:hAnsi="Century Gothic"/>
        </w:rPr>
        <w:t>, foundational learning programs and career coaching to help you reach your goals</w:t>
      </w:r>
      <w:bookmarkEnd w:id="0"/>
      <w:r w:rsidR="00D877CC">
        <w:rPr>
          <w:rFonts w:ascii="Century Gothic" w:hAnsi="Century Gothic"/>
        </w:rPr>
        <w:t>.</w:t>
      </w:r>
    </w:p>
    <w:p w14:paraId="1DF6CC99" w14:textId="2EB89C6F" w:rsidR="00010A33" w:rsidRPr="004F5EEA" w:rsidRDefault="00CF240F" w:rsidP="00010A33">
      <w:pPr>
        <w:pStyle w:val="Heading2"/>
        <w:rPr>
          <w:rFonts w:ascii="Century Gothic" w:hAnsi="Century Gothic"/>
          <w:b/>
          <w:bCs/>
          <w:color w:val="9F5FA6"/>
          <w:sz w:val="24"/>
          <w:szCs w:val="24"/>
        </w:rPr>
      </w:pPr>
      <w:r w:rsidRPr="00CF240F">
        <w:rPr>
          <w:rFonts w:ascii="Century Gothic" w:hAnsi="Century Gothic"/>
          <w:b/>
          <w:bCs/>
          <w:color w:val="9F5FA6"/>
          <w:sz w:val="24"/>
          <w:szCs w:val="24"/>
        </w:rPr>
        <w:t>Why are we moving to a curated network for education benefits</w:t>
      </w:r>
      <w:r w:rsidR="00010A33" w:rsidRPr="006C16C3">
        <w:rPr>
          <w:rFonts w:ascii="Century Gothic" w:hAnsi="Century Gothic"/>
          <w:b/>
          <w:bCs/>
          <w:color w:val="9F5FA6"/>
          <w:sz w:val="24"/>
          <w:szCs w:val="24"/>
        </w:rPr>
        <w:t>?</w:t>
      </w:r>
    </w:p>
    <w:p w14:paraId="40441B2B" w14:textId="77777777" w:rsidR="003930F6" w:rsidRPr="003930F6" w:rsidRDefault="003930F6" w:rsidP="003930F6">
      <w:pPr>
        <w:rPr>
          <w:rFonts w:ascii="Century Gothic" w:hAnsi="Century Gothic"/>
        </w:rPr>
      </w:pPr>
      <w:r w:rsidRPr="003930F6">
        <w:rPr>
          <w:rFonts w:ascii="Century Gothic" w:hAnsi="Century Gothic"/>
        </w:rPr>
        <w:t xml:space="preserve">This change ensures that the programs available through your </w:t>
      </w:r>
      <w:r w:rsidRPr="003930F6">
        <w:rPr>
          <w:rFonts w:ascii="Century Gothic" w:hAnsi="Century Gothic"/>
          <w:b/>
          <w:bCs/>
        </w:rPr>
        <w:t>education benefits</w:t>
      </w:r>
      <w:r w:rsidRPr="003930F6">
        <w:rPr>
          <w:rFonts w:ascii="Century Gothic" w:hAnsi="Century Gothic"/>
        </w:rPr>
        <w:t xml:space="preserve"> are the ones that matter most to our organization, our patients, and your career growth.</w:t>
      </w:r>
      <w:r w:rsidRPr="003930F6">
        <w:rPr>
          <w:rFonts w:ascii="Century Gothic" w:hAnsi="Century Gothic"/>
        </w:rPr>
        <w:br/>
        <w:t xml:space="preserve">By focusing on local, regional and national schools that align with our </w:t>
      </w:r>
      <w:r w:rsidRPr="003930F6">
        <w:rPr>
          <w:rFonts w:ascii="Century Gothic" w:hAnsi="Century Gothic"/>
          <w:b/>
          <w:bCs/>
        </w:rPr>
        <w:t>clinical pathways</w:t>
      </w:r>
      <w:r w:rsidRPr="003930F6">
        <w:rPr>
          <w:rFonts w:ascii="Century Gothic" w:hAnsi="Century Gothic"/>
        </w:rPr>
        <w:t>, we can:</w:t>
      </w:r>
    </w:p>
    <w:p w14:paraId="0FD31F42" w14:textId="77777777" w:rsidR="003930F6" w:rsidRPr="003930F6" w:rsidRDefault="003930F6" w:rsidP="003930F6">
      <w:pPr>
        <w:numPr>
          <w:ilvl w:val="0"/>
          <w:numId w:val="10"/>
        </w:numPr>
        <w:rPr>
          <w:rFonts w:ascii="Century Gothic" w:hAnsi="Century Gothic"/>
        </w:rPr>
      </w:pPr>
      <w:r w:rsidRPr="003930F6">
        <w:rPr>
          <w:rFonts w:ascii="Century Gothic" w:hAnsi="Century Gothic"/>
        </w:rPr>
        <w:t>Offer programs that lead to in-demand, rewarding careers at RSFH.</w:t>
      </w:r>
    </w:p>
    <w:p w14:paraId="3162EA43" w14:textId="77777777" w:rsidR="003930F6" w:rsidRPr="003930F6" w:rsidRDefault="003930F6" w:rsidP="003930F6">
      <w:pPr>
        <w:numPr>
          <w:ilvl w:val="0"/>
          <w:numId w:val="10"/>
        </w:numPr>
        <w:rPr>
          <w:rFonts w:ascii="Century Gothic" w:hAnsi="Century Gothic"/>
        </w:rPr>
      </w:pPr>
      <w:r w:rsidRPr="003930F6">
        <w:rPr>
          <w:rFonts w:ascii="Century Gothic" w:hAnsi="Century Gothic"/>
        </w:rPr>
        <w:t xml:space="preserve">Remove the up-front </w:t>
      </w:r>
      <w:r w:rsidRPr="003930F6">
        <w:rPr>
          <w:rFonts w:ascii="Century Gothic" w:hAnsi="Century Gothic"/>
          <w:b/>
          <w:bCs/>
        </w:rPr>
        <w:t>tuition</w:t>
      </w:r>
      <w:r w:rsidRPr="003930F6">
        <w:rPr>
          <w:rFonts w:ascii="Century Gothic" w:hAnsi="Century Gothic"/>
        </w:rPr>
        <w:t xml:space="preserve"> costs that have made continuing education challenging.</w:t>
      </w:r>
    </w:p>
    <w:p w14:paraId="2013CFCB" w14:textId="3AC1EA86" w:rsidR="00010A33" w:rsidRPr="0092263E" w:rsidRDefault="003930F6" w:rsidP="0092263E">
      <w:pPr>
        <w:pStyle w:val="ListParagraph"/>
        <w:numPr>
          <w:ilvl w:val="0"/>
          <w:numId w:val="10"/>
        </w:numPr>
        <w:rPr>
          <w:rFonts w:ascii="Century Gothic" w:hAnsi="Century Gothic"/>
        </w:rPr>
      </w:pPr>
      <w:r w:rsidRPr="0092263E">
        <w:rPr>
          <w:rFonts w:ascii="Century Gothic" w:hAnsi="Century Gothic"/>
        </w:rPr>
        <w:t>Support schools known for strong graduate outcomes, affordability and flexibility</w:t>
      </w:r>
      <w:r w:rsidR="00010A33" w:rsidRPr="0092263E">
        <w:rPr>
          <w:rFonts w:ascii="Century Gothic" w:hAnsi="Century Gothic"/>
        </w:rPr>
        <w:t>.</w:t>
      </w:r>
    </w:p>
    <w:p w14:paraId="4BF50331" w14:textId="487ACC4C" w:rsidR="00010A33" w:rsidRPr="004F5EEA" w:rsidRDefault="00BA290A" w:rsidP="00010A33">
      <w:pPr>
        <w:pStyle w:val="Heading2"/>
        <w:rPr>
          <w:rFonts w:ascii="Century Gothic" w:hAnsi="Century Gothic"/>
          <w:b/>
          <w:bCs/>
          <w:color w:val="9F5FA6"/>
          <w:sz w:val="24"/>
          <w:szCs w:val="24"/>
        </w:rPr>
      </w:pPr>
      <w:r w:rsidRPr="00BA290A">
        <w:rPr>
          <w:rFonts w:ascii="Century Gothic" w:hAnsi="Century Gothic"/>
          <w:b/>
          <w:bCs/>
          <w:color w:val="9F5FA6"/>
          <w:sz w:val="24"/>
          <w:szCs w:val="24"/>
        </w:rPr>
        <w:t>What’s going to change if I participate in Tuition Reimbursement</w:t>
      </w:r>
      <w:r w:rsidR="00010A33" w:rsidRPr="006C16C3">
        <w:rPr>
          <w:rFonts w:ascii="Century Gothic" w:hAnsi="Century Gothic"/>
          <w:b/>
          <w:bCs/>
          <w:color w:val="9F5FA6"/>
          <w:sz w:val="24"/>
          <w:szCs w:val="24"/>
        </w:rPr>
        <w:t>?</w:t>
      </w:r>
    </w:p>
    <w:p w14:paraId="11CAF5BE" w14:textId="63C45DFE" w:rsidR="00B81F00" w:rsidRPr="00B81F00" w:rsidRDefault="00B81F00" w:rsidP="00B81F00">
      <w:pPr>
        <w:rPr>
          <w:rFonts w:ascii="Century Gothic" w:hAnsi="Century Gothic"/>
        </w:rPr>
      </w:pPr>
      <w:r w:rsidRPr="00B81F00">
        <w:rPr>
          <w:rFonts w:ascii="Century Gothic" w:hAnsi="Century Gothic"/>
        </w:rPr>
        <w:t xml:space="preserve">Instead of paying out of pocket and waiting for reimbursement, RSFH will </w:t>
      </w:r>
      <w:r w:rsidRPr="00B81F00">
        <w:rPr>
          <w:rFonts w:ascii="Century Gothic" w:hAnsi="Century Gothic"/>
          <w:b/>
          <w:bCs/>
        </w:rPr>
        <w:t>pay approved tuition directly to your school</w:t>
      </w:r>
      <w:r w:rsidRPr="00B81F00">
        <w:rPr>
          <w:rFonts w:ascii="Century Gothic" w:hAnsi="Century Gothic"/>
        </w:rPr>
        <w:t xml:space="preserve"> through Guild. This shift eliminates the need to front tuition costs and streamlines the process of using your </w:t>
      </w:r>
      <w:r w:rsidRPr="00B81F00">
        <w:rPr>
          <w:rFonts w:ascii="Century Gothic" w:hAnsi="Century Gothic"/>
          <w:b/>
          <w:bCs/>
        </w:rPr>
        <w:t>education benefits</w:t>
      </w:r>
      <w:r w:rsidRPr="00B81F00">
        <w:rPr>
          <w:rFonts w:ascii="Century Gothic" w:hAnsi="Century Gothic"/>
        </w:rPr>
        <w:t>.</w:t>
      </w:r>
    </w:p>
    <w:p w14:paraId="2EB8E61B" w14:textId="3CFB127F" w:rsidR="00B81F00" w:rsidRPr="00B81F00" w:rsidRDefault="00B81F00" w:rsidP="00B81F00">
      <w:pPr>
        <w:rPr>
          <w:rFonts w:ascii="Century Gothic" w:hAnsi="Century Gothic"/>
        </w:rPr>
      </w:pPr>
      <w:r w:rsidRPr="00B81F00">
        <w:rPr>
          <w:rFonts w:ascii="Century Gothic" w:hAnsi="Century Gothic"/>
        </w:rPr>
        <w:t xml:space="preserve">The </w:t>
      </w:r>
      <w:r w:rsidRPr="00B81F00">
        <w:rPr>
          <w:rFonts w:ascii="Century Gothic" w:hAnsi="Century Gothic"/>
          <w:b/>
          <w:bCs/>
        </w:rPr>
        <w:t>Tuition Reimbursement payment model</w:t>
      </w:r>
      <w:r w:rsidRPr="00B81F00">
        <w:rPr>
          <w:rFonts w:ascii="Century Gothic" w:hAnsi="Century Gothic"/>
        </w:rPr>
        <w:t xml:space="preserve"> will be phased out for degree programs by </w:t>
      </w:r>
      <w:r w:rsidRPr="00B81F00">
        <w:rPr>
          <w:rFonts w:ascii="Century Gothic" w:hAnsi="Century Gothic"/>
          <w:b/>
          <w:bCs/>
        </w:rPr>
        <w:t>May 31, 2027</w:t>
      </w:r>
      <w:r w:rsidRPr="00B81F00">
        <w:rPr>
          <w:rFonts w:ascii="Century Gothic" w:hAnsi="Century Gothic"/>
        </w:rPr>
        <w:t>. Teammates currently using this model have received direct communication about their specific next steps and options.</w:t>
      </w:r>
    </w:p>
    <w:p w14:paraId="11885681" w14:textId="06606950" w:rsidR="00010A33" w:rsidRDefault="00B81F00" w:rsidP="00B81F00">
      <w:pPr>
        <w:rPr>
          <w:rFonts w:ascii="Century Gothic" w:hAnsi="Century Gothic"/>
        </w:rPr>
      </w:pPr>
      <w:r w:rsidRPr="00B81F00">
        <w:rPr>
          <w:rFonts w:ascii="Century Gothic" w:hAnsi="Century Gothic"/>
        </w:rPr>
        <w:lastRenderedPageBreak/>
        <w:t>Eligible programs will focus on clinical pathway programs. Teammates current enrolled in non-clinical programs will continue with coverage through May 31, 2027. No new enrollments in non-clinical programs will be available</w:t>
      </w:r>
      <w:r w:rsidR="00010A33">
        <w:rPr>
          <w:rFonts w:ascii="Century Gothic" w:hAnsi="Century Gothic"/>
        </w:rPr>
        <w:t>.</w:t>
      </w:r>
    </w:p>
    <w:p w14:paraId="568D3BDA" w14:textId="2E90CA00" w:rsidR="00010A33" w:rsidRPr="004F5EEA" w:rsidRDefault="007E3238" w:rsidP="00010A33">
      <w:pPr>
        <w:pStyle w:val="Heading2"/>
        <w:rPr>
          <w:rFonts w:ascii="Century Gothic" w:hAnsi="Century Gothic"/>
          <w:b/>
          <w:bCs/>
          <w:color w:val="9F5FA6"/>
          <w:sz w:val="24"/>
          <w:szCs w:val="24"/>
        </w:rPr>
      </w:pPr>
      <w:r w:rsidRPr="007E3238">
        <w:rPr>
          <w:rFonts w:ascii="Century Gothic" w:hAnsi="Century Gothic"/>
          <w:b/>
          <w:bCs/>
          <w:color w:val="9F5FA6"/>
          <w:sz w:val="24"/>
          <w:szCs w:val="24"/>
        </w:rPr>
        <w:t>What’s going to change if I participate in Kaplan/Purdue Global</w:t>
      </w:r>
      <w:r w:rsidR="00010A33" w:rsidRPr="006C16C3">
        <w:rPr>
          <w:rFonts w:ascii="Century Gothic" w:hAnsi="Century Gothic"/>
          <w:b/>
          <w:bCs/>
          <w:color w:val="9F5FA6"/>
          <w:sz w:val="24"/>
          <w:szCs w:val="24"/>
        </w:rPr>
        <w:t>?</w:t>
      </w:r>
    </w:p>
    <w:p w14:paraId="15F1FC5C" w14:textId="4352C500" w:rsidR="00BC0E25" w:rsidRPr="00BC0E25" w:rsidRDefault="00BC0E25" w:rsidP="00BC0E25">
      <w:pPr>
        <w:rPr>
          <w:rFonts w:ascii="Century Gothic" w:hAnsi="Century Gothic"/>
        </w:rPr>
      </w:pPr>
      <w:r w:rsidRPr="00BC0E25">
        <w:rPr>
          <w:rFonts w:ascii="Century Gothic" w:hAnsi="Century Gothic"/>
        </w:rPr>
        <w:t xml:space="preserve">Purdue Global will continue to remain available to current enrollees through Guild until May 31, 2027. If you are currently a Purdue Global student, you should login to Guild to activate your account and complete your Guild enrollment to maintain your Purdue Global funding. </w:t>
      </w:r>
    </w:p>
    <w:p w14:paraId="4BAB09E9" w14:textId="5CA8B523" w:rsidR="00BC0E25" w:rsidRPr="00BC0E25" w:rsidRDefault="00BC0E25" w:rsidP="00BC0E25">
      <w:pPr>
        <w:rPr>
          <w:rFonts w:ascii="Century Gothic" w:hAnsi="Century Gothic"/>
        </w:rPr>
      </w:pPr>
      <w:r w:rsidRPr="00BC0E25">
        <w:rPr>
          <w:rFonts w:ascii="Century Gothic" w:hAnsi="Century Gothic"/>
        </w:rPr>
        <w:t xml:space="preserve">Between now and May 31, 2027, if you are pursuing a clinical degree you are encouraged to talk with Guild coaching and your school counselor to determine if your program will be completed by May 31, 2027, if a transfer to an in-network school makes sense or if another funding option is available. </w:t>
      </w:r>
    </w:p>
    <w:p w14:paraId="033DFE87" w14:textId="7BA8165E" w:rsidR="00010A33" w:rsidRDefault="00BC0E25" w:rsidP="00BC0E25">
      <w:pPr>
        <w:rPr>
          <w:rFonts w:ascii="Century Gothic" w:hAnsi="Century Gothic"/>
        </w:rPr>
      </w:pPr>
      <w:r w:rsidRPr="00BC0E25">
        <w:rPr>
          <w:rFonts w:ascii="Century Gothic" w:hAnsi="Century Gothic"/>
        </w:rPr>
        <w:t>If you are pursuing a non-clinical degree, your current funding status will be maintained through your current payment mode until May 31, 2027. After that date non-clinical degrees will not be eligible for funding</w:t>
      </w:r>
      <w:r w:rsidR="00010A33">
        <w:rPr>
          <w:rFonts w:ascii="Century Gothic" w:hAnsi="Century Gothic"/>
        </w:rPr>
        <w:t>.</w:t>
      </w:r>
    </w:p>
    <w:p w14:paraId="34206901" w14:textId="7BB18980" w:rsidR="00010A33" w:rsidRPr="004F5EEA" w:rsidRDefault="00011497" w:rsidP="00010A33">
      <w:pPr>
        <w:pStyle w:val="Heading2"/>
        <w:rPr>
          <w:rFonts w:ascii="Century Gothic" w:hAnsi="Century Gothic"/>
          <w:b/>
          <w:bCs/>
          <w:color w:val="9F5FA6"/>
          <w:sz w:val="24"/>
          <w:szCs w:val="24"/>
        </w:rPr>
      </w:pPr>
      <w:r w:rsidRPr="00011497">
        <w:rPr>
          <w:rFonts w:ascii="Century Gothic" w:hAnsi="Century Gothic"/>
          <w:b/>
          <w:bCs/>
          <w:color w:val="9F5FA6"/>
          <w:sz w:val="24"/>
          <w:szCs w:val="24"/>
        </w:rPr>
        <w:t>What happens to schools not on the list</w:t>
      </w:r>
      <w:r w:rsidR="00010A33" w:rsidRPr="006C16C3">
        <w:rPr>
          <w:rFonts w:ascii="Century Gothic" w:hAnsi="Century Gothic"/>
          <w:b/>
          <w:bCs/>
          <w:color w:val="9F5FA6"/>
          <w:sz w:val="24"/>
          <w:szCs w:val="24"/>
        </w:rPr>
        <w:t>?</w:t>
      </w:r>
    </w:p>
    <w:p w14:paraId="71752DC8" w14:textId="673B4C10" w:rsidR="00DE4500" w:rsidRPr="00DE4500" w:rsidRDefault="00DE4500" w:rsidP="00DE4500">
      <w:pPr>
        <w:rPr>
          <w:rFonts w:ascii="Century Gothic" w:hAnsi="Century Gothic"/>
        </w:rPr>
      </w:pPr>
      <w:r w:rsidRPr="00DE4500">
        <w:rPr>
          <w:rFonts w:ascii="Century Gothic" w:hAnsi="Century Gothic"/>
        </w:rPr>
        <w:t>If a school is not currently part of the curated network, it won’t appear in the Guild platform right now, but it’s not automatically excluded forever. We’ll continue to evaluate programs based on workforce needs, program quality and affordability.</w:t>
      </w:r>
    </w:p>
    <w:p w14:paraId="376A48B8" w14:textId="77777777" w:rsidR="00DE4500" w:rsidRPr="00DE4500" w:rsidRDefault="00DE4500" w:rsidP="00DE4500">
      <w:pPr>
        <w:rPr>
          <w:rFonts w:ascii="Century Gothic" w:hAnsi="Century Gothic"/>
        </w:rPr>
      </w:pPr>
      <w:r w:rsidRPr="00DE4500">
        <w:rPr>
          <w:rFonts w:ascii="Century Gothic" w:hAnsi="Century Gothic"/>
        </w:rPr>
        <w:t>This streamlined list allows us to focus on schools that:</w:t>
      </w:r>
    </w:p>
    <w:p w14:paraId="03748673" w14:textId="77777777" w:rsidR="00DE4500" w:rsidRPr="00DE4500" w:rsidRDefault="00DE4500" w:rsidP="00DE4500">
      <w:pPr>
        <w:numPr>
          <w:ilvl w:val="0"/>
          <w:numId w:val="11"/>
        </w:numPr>
        <w:rPr>
          <w:rFonts w:ascii="Century Gothic" w:hAnsi="Century Gothic"/>
        </w:rPr>
      </w:pPr>
      <w:r w:rsidRPr="00DE4500">
        <w:rPr>
          <w:rFonts w:ascii="Century Gothic" w:hAnsi="Century Gothic"/>
        </w:rPr>
        <w:t xml:space="preserve">Offer programs in our </w:t>
      </w:r>
      <w:r w:rsidRPr="00DE4500">
        <w:rPr>
          <w:rFonts w:ascii="Century Gothic" w:hAnsi="Century Gothic"/>
          <w:b/>
          <w:bCs/>
        </w:rPr>
        <w:t>clinical pathways</w:t>
      </w:r>
    </w:p>
    <w:p w14:paraId="2856A7D2" w14:textId="77777777" w:rsidR="00DE4500" w:rsidRPr="00DE4500" w:rsidRDefault="00DE4500" w:rsidP="00DE4500">
      <w:pPr>
        <w:numPr>
          <w:ilvl w:val="0"/>
          <w:numId w:val="11"/>
        </w:numPr>
        <w:rPr>
          <w:rFonts w:ascii="Century Gothic" w:hAnsi="Century Gothic"/>
        </w:rPr>
      </w:pPr>
      <w:r w:rsidRPr="00DE4500">
        <w:rPr>
          <w:rFonts w:ascii="Century Gothic" w:hAnsi="Century Gothic"/>
        </w:rPr>
        <w:t>Meet the needs of working adult learners</w:t>
      </w:r>
    </w:p>
    <w:p w14:paraId="5A6910AC" w14:textId="1F70E60D" w:rsidR="00010A33" w:rsidRPr="00DE4500" w:rsidRDefault="00DE4500" w:rsidP="00DE4500">
      <w:pPr>
        <w:pStyle w:val="ListParagraph"/>
        <w:numPr>
          <w:ilvl w:val="0"/>
          <w:numId w:val="11"/>
        </w:numPr>
        <w:rPr>
          <w:rFonts w:ascii="Century Gothic" w:hAnsi="Century Gothic"/>
        </w:rPr>
      </w:pPr>
      <w:r w:rsidRPr="00DE4500">
        <w:rPr>
          <w:rFonts w:ascii="Century Gothic" w:hAnsi="Century Gothic"/>
        </w:rPr>
        <w:t>Provide affordable, high-quality education with strong outcomes</w:t>
      </w:r>
      <w:r w:rsidR="00010A33" w:rsidRPr="00DE4500">
        <w:rPr>
          <w:rFonts w:ascii="Century Gothic" w:hAnsi="Century Gothic"/>
        </w:rPr>
        <w:t>.</w:t>
      </w:r>
    </w:p>
    <w:p w14:paraId="467D170C" w14:textId="7D524E14" w:rsidR="00010A33" w:rsidRPr="004F5EEA" w:rsidRDefault="005A2AB0" w:rsidP="00010A33">
      <w:pPr>
        <w:pStyle w:val="Heading2"/>
        <w:rPr>
          <w:rFonts w:ascii="Century Gothic" w:hAnsi="Century Gothic"/>
          <w:b/>
          <w:bCs/>
          <w:color w:val="9F5FA6"/>
          <w:sz w:val="24"/>
          <w:szCs w:val="24"/>
        </w:rPr>
      </w:pPr>
      <w:r w:rsidRPr="005A2AB0">
        <w:rPr>
          <w:rFonts w:ascii="Century Gothic" w:hAnsi="Century Gothic"/>
          <w:b/>
          <w:bCs/>
          <w:color w:val="9F5FA6"/>
          <w:sz w:val="24"/>
          <w:szCs w:val="24"/>
        </w:rPr>
        <w:t>Can I still use education benefits for schools outside the Guild catalog</w:t>
      </w:r>
      <w:r w:rsidR="00010A33" w:rsidRPr="006C16C3">
        <w:rPr>
          <w:rFonts w:ascii="Century Gothic" w:hAnsi="Century Gothic"/>
          <w:b/>
          <w:bCs/>
          <w:color w:val="9F5FA6"/>
          <w:sz w:val="24"/>
          <w:szCs w:val="24"/>
        </w:rPr>
        <w:t>?</w:t>
      </w:r>
    </w:p>
    <w:p w14:paraId="74800A68" w14:textId="5B3D9CB1" w:rsidR="00C8454C" w:rsidRPr="00C8454C" w:rsidRDefault="00C8454C" w:rsidP="00C8454C">
      <w:pPr>
        <w:rPr>
          <w:rFonts w:ascii="Century Gothic" w:hAnsi="Century Gothic"/>
        </w:rPr>
      </w:pPr>
      <w:r w:rsidRPr="00C8454C">
        <w:rPr>
          <w:rFonts w:ascii="Century Gothic" w:hAnsi="Century Gothic"/>
        </w:rPr>
        <w:t xml:space="preserve">Beginning </w:t>
      </w:r>
      <w:r w:rsidRPr="00C8454C">
        <w:rPr>
          <w:rFonts w:ascii="Century Gothic" w:hAnsi="Century Gothic"/>
          <w:b/>
          <w:bCs/>
        </w:rPr>
        <w:t>Jan. 1, 2026</w:t>
      </w:r>
      <w:r w:rsidRPr="00C8454C">
        <w:rPr>
          <w:rFonts w:ascii="Century Gothic" w:hAnsi="Century Gothic"/>
        </w:rPr>
        <w:t xml:space="preserve">, only schools available in the </w:t>
      </w:r>
      <w:r w:rsidRPr="00C8454C">
        <w:rPr>
          <w:rFonts w:ascii="Century Gothic" w:hAnsi="Century Gothic"/>
          <w:b/>
          <w:bCs/>
        </w:rPr>
        <w:t>Guild catalog</w:t>
      </w:r>
      <w:r w:rsidRPr="00C8454C">
        <w:rPr>
          <w:rFonts w:ascii="Century Gothic" w:hAnsi="Century Gothic"/>
        </w:rPr>
        <w:t xml:space="preserve"> will be eligible for RSFH </w:t>
      </w:r>
      <w:r w:rsidRPr="00C8454C">
        <w:rPr>
          <w:rFonts w:ascii="Century Gothic" w:hAnsi="Century Gothic"/>
          <w:b/>
          <w:bCs/>
        </w:rPr>
        <w:t>education benefits</w:t>
      </w:r>
      <w:r w:rsidRPr="00C8454C">
        <w:rPr>
          <w:rFonts w:ascii="Century Gothic" w:hAnsi="Century Gothic"/>
        </w:rPr>
        <w:t>.</w:t>
      </w:r>
    </w:p>
    <w:p w14:paraId="47E9F9C8" w14:textId="6F1C356F" w:rsidR="00010A33" w:rsidRDefault="00C8454C" w:rsidP="00C8454C">
      <w:pPr>
        <w:rPr>
          <w:rFonts w:ascii="Century Gothic" w:hAnsi="Century Gothic"/>
        </w:rPr>
      </w:pPr>
      <w:r w:rsidRPr="00C8454C">
        <w:rPr>
          <w:rFonts w:ascii="Century Gothic" w:hAnsi="Century Gothic"/>
        </w:rPr>
        <w:t>If you were enrolled in a program outside this network during the transition period, you received direct communication with options to either finish your program or transfer to a covered school</w:t>
      </w:r>
      <w:r w:rsidR="00010A33">
        <w:rPr>
          <w:rFonts w:ascii="Century Gothic" w:hAnsi="Century Gothic"/>
        </w:rPr>
        <w:t>.</w:t>
      </w:r>
    </w:p>
    <w:p w14:paraId="748D448B" w14:textId="7E66652C" w:rsidR="00010A33" w:rsidRPr="004F5EEA" w:rsidRDefault="00FC177B" w:rsidP="00010A33">
      <w:pPr>
        <w:pStyle w:val="Heading2"/>
        <w:rPr>
          <w:rFonts w:ascii="Century Gothic" w:hAnsi="Century Gothic"/>
          <w:b/>
          <w:bCs/>
          <w:color w:val="9F5FA6"/>
          <w:sz w:val="24"/>
          <w:szCs w:val="24"/>
        </w:rPr>
      </w:pPr>
      <w:r w:rsidRPr="00FC177B">
        <w:rPr>
          <w:rFonts w:ascii="Century Gothic" w:hAnsi="Century Gothic"/>
          <w:b/>
          <w:bCs/>
          <w:color w:val="9F5FA6"/>
          <w:sz w:val="24"/>
          <w:szCs w:val="24"/>
        </w:rPr>
        <w:lastRenderedPageBreak/>
        <w:t>What if my current program doesn’t participate in direct pay or isn’t in Guild’s catalog</w:t>
      </w:r>
      <w:r w:rsidR="00010A33" w:rsidRPr="006C16C3">
        <w:rPr>
          <w:rFonts w:ascii="Century Gothic" w:hAnsi="Century Gothic"/>
          <w:b/>
          <w:bCs/>
          <w:color w:val="9F5FA6"/>
          <w:sz w:val="24"/>
          <w:szCs w:val="24"/>
        </w:rPr>
        <w:t>?</w:t>
      </w:r>
    </w:p>
    <w:p w14:paraId="6A8B7943" w14:textId="577C5D97" w:rsidR="00010A33" w:rsidRDefault="00C32B9B" w:rsidP="00010A33">
      <w:pPr>
        <w:rPr>
          <w:rFonts w:ascii="Century Gothic" w:hAnsi="Century Gothic"/>
        </w:rPr>
      </w:pPr>
      <w:r w:rsidRPr="00C32B9B">
        <w:rPr>
          <w:rFonts w:ascii="Century Gothic" w:hAnsi="Century Gothic"/>
        </w:rPr>
        <w:t>If your program isn’t in the new catalog, you received specific communication outlining your options. You can continue using the Tuition Reimbursement payment model through May 31, 2027, or explore a new direct-pay program through Guild. Guild’s support team can help you review comparable schools and funding options to keep your education goals on track</w:t>
      </w:r>
      <w:r w:rsidR="00010A33">
        <w:rPr>
          <w:rFonts w:ascii="Century Gothic" w:hAnsi="Century Gothic"/>
        </w:rPr>
        <w:t>.</w:t>
      </w:r>
    </w:p>
    <w:p w14:paraId="25FDF007" w14:textId="78CF18D6" w:rsidR="00010A33" w:rsidRPr="004F5EEA" w:rsidRDefault="00392E97" w:rsidP="00010A33">
      <w:pPr>
        <w:pStyle w:val="Heading2"/>
        <w:rPr>
          <w:rFonts w:ascii="Century Gothic" w:hAnsi="Century Gothic"/>
          <w:b/>
          <w:bCs/>
          <w:color w:val="9F5FA6"/>
          <w:sz w:val="24"/>
          <w:szCs w:val="24"/>
        </w:rPr>
      </w:pPr>
      <w:r w:rsidRPr="00392E97">
        <w:rPr>
          <w:rFonts w:ascii="Century Gothic" w:hAnsi="Century Gothic"/>
          <w:b/>
          <w:bCs/>
          <w:color w:val="9F5FA6"/>
          <w:sz w:val="24"/>
          <w:szCs w:val="24"/>
        </w:rPr>
        <w:t>What if I want to switch to a new school that uses direct pay</w:t>
      </w:r>
      <w:r w:rsidR="00010A33" w:rsidRPr="006C16C3">
        <w:rPr>
          <w:rFonts w:ascii="Century Gothic" w:hAnsi="Century Gothic"/>
          <w:b/>
          <w:bCs/>
          <w:color w:val="9F5FA6"/>
          <w:sz w:val="24"/>
          <w:szCs w:val="24"/>
        </w:rPr>
        <w:t>?</w:t>
      </w:r>
    </w:p>
    <w:p w14:paraId="19EDF75D" w14:textId="185FC75A" w:rsidR="00010A33" w:rsidRDefault="00991ADE" w:rsidP="00010A33">
      <w:pPr>
        <w:rPr>
          <w:rFonts w:ascii="Century Gothic" w:hAnsi="Century Gothic"/>
        </w:rPr>
      </w:pPr>
      <w:r w:rsidRPr="00991ADE">
        <w:rPr>
          <w:rFonts w:ascii="Century Gothic" w:hAnsi="Century Gothic"/>
        </w:rPr>
        <w:t>You can finish your current semester, then transfer for the next term. Switching earlier may help with credit transfers and faster graduation. To make the switch, log into your Guild account and follow the steps to apply for education benefits under the new payment model</w:t>
      </w:r>
      <w:r w:rsidR="00010A33">
        <w:rPr>
          <w:rFonts w:ascii="Century Gothic" w:hAnsi="Century Gothic"/>
        </w:rPr>
        <w:t>.</w:t>
      </w:r>
    </w:p>
    <w:p w14:paraId="0BD9B7F2" w14:textId="77000F3B" w:rsidR="00010A33" w:rsidRPr="004F5EEA" w:rsidRDefault="004761B0" w:rsidP="00010A33">
      <w:pPr>
        <w:pStyle w:val="Heading2"/>
        <w:rPr>
          <w:rFonts w:ascii="Century Gothic" w:hAnsi="Century Gothic"/>
          <w:b/>
          <w:bCs/>
          <w:color w:val="9F5FA6"/>
          <w:sz w:val="24"/>
          <w:szCs w:val="24"/>
        </w:rPr>
      </w:pPr>
      <w:r w:rsidRPr="004761B0">
        <w:rPr>
          <w:rFonts w:ascii="Century Gothic" w:hAnsi="Century Gothic"/>
          <w:b/>
          <w:bCs/>
          <w:color w:val="9F5FA6"/>
          <w:sz w:val="24"/>
          <w:szCs w:val="24"/>
        </w:rPr>
        <w:t>How do I know if my credits will transfer</w:t>
      </w:r>
      <w:r w:rsidR="00010A33" w:rsidRPr="006C16C3">
        <w:rPr>
          <w:rFonts w:ascii="Century Gothic" w:hAnsi="Century Gothic"/>
          <w:b/>
          <w:bCs/>
          <w:color w:val="9F5FA6"/>
          <w:sz w:val="24"/>
          <w:szCs w:val="24"/>
        </w:rPr>
        <w:t>?</w:t>
      </w:r>
    </w:p>
    <w:p w14:paraId="3A727277" w14:textId="34C52D6A" w:rsidR="00010A33" w:rsidRDefault="0065705F" w:rsidP="00010A33">
      <w:pPr>
        <w:rPr>
          <w:rFonts w:ascii="Century Gothic" w:hAnsi="Century Gothic"/>
        </w:rPr>
      </w:pPr>
      <w:r w:rsidRPr="0065705F">
        <w:rPr>
          <w:rFonts w:ascii="Century Gothic" w:hAnsi="Century Gothic"/>
        </w:rPr>
        <w:t>Guild’s coaches can help you connect with your current and new schools to understand which credits will transfer and ensure a smooth transition</w:t>
      </w:r>
      <w:r w:rsidR="00010A33">
        <w:rPr>
          <w:rFonts w:ascii="Century Gothic" w:hAnsi="Century Gothic"/>
        </w:rPr>
        <w:t>.</w:t>
      </w:r>
    </w:p>
    <w:p w14:paraId="48EAC5C8" w14:textId="33D4A203" w:rsidR="00010A33" w:rsidRPr="004F5EEA" w:rsidRDefault="00CF7D32" w:rsidP="00010A33">
      <w:pPr>
        <w:pStyle w:val="Heading2"/>
        <w:rPr>
          <w:rFonts w:ascii="Century Gothic" w:hAnsi="Century Gothic"/>
          <w:b/>
          <w:bCs/>
          <w:color w:val="9F5FA6"/>
          <w:sz w:val="24"/>
          <w:szCs w:val="24"/>
        </w:rPr>
      </w:pPr>
      <w:r w:rsidRPr="00CF7D32">
        <w:rPr>
          <w:rFonts w:ascii="Century Gothic" w:hAnsi="Century Gothic"/>
          <w:b/>
          <w:bCs/>
          <w:color w:val="9F5FA6"/>
          <w:sz w:val="24"/>
          <w:szCs w:val="24"/>
        </w:rPr>
        <w:t>Are professional certifications affected</w:t>
      </w:r>
      <w:r w:rsidR="00010A33" w:rsidRPr="006C16C3">
        <w:rPr>
          <w:rFonts w:ascii="Century Gothic" w:hAnsi="Century Gothic"/>
          <w:b/>
          <w:bCs/>
          <w:color w:val="9F5FA6"/>
          <w:sz w:val="24"/>
          <w:szCs w:val="24"/>
        </w:rPr>
        <w:t>?</w:t>
      </w:r>
    </w:p>
    <w:p w14:paraId="4A9235D2" w14:textId="32C1ACD0" w:rsidR="004A7BD2" w:rsidRPr="004A7BD2" w:rsidRDefault="004A7BD2" w:rsidP="004A7BD2">
      <w:pPr>
        <w:rPr>
          <w:rFonts w:ascii="Century Gothic" w:hAnsi="Century Gothic"/>
        </w:rPr>
      </w:pPr>
      <w:r w:rsidRPr="004A7BD2">
        <w:rPr>
          <w:rFonts w:ascii="Century Gothic" w:hAnsi="Century Gothic"/>
        </w:rPr>
        <w:t>No. The Tuition Reimbursement payment model is being phased out only for degree-based programs. Approved professional certifications, enrollment fees, and other program-related expenses will be processed through Guild’s professional expense reimbursement process.</w:t>
      </w:r>
    </w:p>
    <w:p w14:paraId="71B26E5B" w14:textId="662783EA" w:rsidR="00010A33" w:rsidRDefault="004A7BD2" w:rsidP="004A7BD2">
      <w:pPr>
        <w:rPr>
          <w:rFonts w:ascii="Century Gothic" w:hAnsi="Century Gothic"/>
        </w:rPr>
      </w:pPr>
      <w:r w:rsidRPr="004A7BD2">
        <w:rPr>
          <w:rFonts w:ascii="Century Gothic" w:hAnsi="Century Gothic"/>
        </w:rPr>
        <w:t>Search education benefits in HR Service Now for step-by-step guide to submit a reimbursement request</w:t>
      </w:r>
      <w:r w:rsidR="00010A33">
        <w:rPr>
          <w:rFonts w:ascii="Century Gothic" w:hAnsi="Century Gothic"/>
        </w:rPr>
        <w:t>.</w:t>
      </w:r>
    </w:p>
    <w:p w14:paraId="7FC008EC" w14:textId="47DFDF4D" w:rsidR="00010A33" w:rsidRPr="004F5EEA" w:rsidRDefault="0092141D" w:rsidP="00010A33">
      <w:pPr>
        <w:pStyle w:val="Heading2"/>
        <w:rPr>
          <w:rFonts w:ascii="Century Gothic" w:hAnsi="Century Gothic"/>
          <w:b/>
          <w:bCs/>
          <w:color w:val="9F5FA6"/>
          <w:sz w:val="24"/>
          <w:szCs w:val="24"/>
        </w:rPr>
      </w:pPr>
      <w:r w:rsidRPr="0092141D">
        <w:rPr>
          <w:rFonts w:ascii="Century Gothic" w:hAnsi="Century Gothic"/>
          <w:b/>
          <w:bCs/>
          <w:color w:val="9F5FA6"/>
          <w:sz w:val="24"/>
          <w:szCs w:val="24"/>
        </w:rPr>
        <w:t>I took my first course in late 2025 and need to submit my reimbursement request, but I don’t have a reimbursement option in Guild</w:t>
      </w:r>
      <w:r w:rsidR="00010A33" w:rsidRPr="006C16C3">
        <w:rPr>
          <w:rFonts w:ascii="Century Gothic" w:hAnsi="Century Gothic"/>
          <w:b/>
          <w:bCs/>
          <w:color w:val="9F5FA6"/>
          <w:sz w:val="24"/>
          <w:szCs w:val="24"/>
        </w:rPr>
        <w:t>?</w:t>
      </w:r>
    </w:p>
    <w:p w14:paraId="05234AF6" w14:textId="20EAD493" w:rsidR="00010A33" w:rsidRDefault="005611C1" w:rsidP="00010A33">
      <w:pPr>
        <w:rPr>
          <w:rFonts w:ascii="Century Gothic" w:hAnsi="Century Gothic"/>
        </w:rPr>
      </w:pPr>
      <w:r w:rsidRPr="005611C1">
        <w:rPr>
          <w:rFonts w:ascii="Century Gothic" w:hAnsi="Century Gothic"/>
        </w:rPr>
        <w:t>Teammates needing to submit a reimbursement request for the first time for a course/term in late 2025 October, November or December of 2025 should reach out to either Guild Support or HR Service Now to gain tuition reimbursement access in Guild</w:t>
      </w:r>
      <w:r w:rsidR="00010A33">
        <w:rPr>
          <w:rFonts w:ascii="Century Gothic" w:hAnsi="Century Gothic"/>
        </w:rPr>
        <w:t>.</w:t>
      </w:r>
    </w:p>
    <w:p w14:paraId="7BF4F5C3" w14:textId="1FFA3974" w:rsidR="00010A33" w:rsidRPr="004F5EEA" w:rsidRDefault="00CB1C0B" w:rsidP="00010A33">
      <w:pPr>
        <w:pStyle w:val="Heading2"/>
        <w:rPr>
          <w:rFonts w:ascii="Century Gothic" w:hAnsi="Century Gothic"/>
          <w:b/>
          <w:bCs/>
          <w:color w:val="9F5FA6"/>
          <w:sz w:val="24"/>
          <w:szCs w:val="24"/>
        </w:rPr>
      </w:pPr>
      <w:r w:rsidRPr="00CB1C0B">
        <w:rPr>
          <w:rFonts w:ascii="Century Gothic" w:hAnsi="Century Gothic"/>
          <w:b/>
          <w:bCs/>
          <w:color w:val="9F5FA6"/>
          <w:sz w:val="24"/>
          <w:szCs w:val="24"/>
        </w:rPr>
        <w:t>When should I contact Guild vs. Internal Mobility</w:t>
      </w:r>
      <w:r w:rsidR="00010A33" w:rsidRPr="006C16C3">
        <w:rPr>
          <w:rFonts w:ascii="Century Gothic" w:hAnsi="Century Gothic"/>
          <w:b/>
          <w:bCs/>
          <w:color w:val="9F5FA6"/>
          <w:sz w:val="24"/>
          <w:szCs w:val="24"/>
        </w:rPr>
        <w:t>?</w:t>
      </w:r>
    </w:p>
    <w:p w14:paraId="0B30A09E" w14:textId="77777777" w:rsidR="000C7D64" w:rsidRPr="000C7D64" w:rsidRDefault="000C7D64" w:rsidP="000C7D64">
      <w:pPr>
        <w:rPr>
          <w:rFonts w:ascii="Century Gothic" w:hAnsi="Century Gothic"/>
        </w:rPr>
      </w:pPr>
      <w:r w:rsidRPr="000C7D64">
        <w:rPr>
          <w:rFonts w:ascii="Century Gothic" w:hAnsi="Century Gothic"/>
        </w:rPr>
        <w:t xml:space="preserve">Contact Guild for exploring education options, program eligibility, or tuition details. </w:t>
      </w:r>
    </w:p>
    <w:p w14:paraId="638E96D4" w14:textId="77777777" w:rsidR="000C7D64" w:rsidRPr="000C7D64" w:rsidRDefault="000C7D64" w:rsidP="000C7D64">
      <w:pPr>
        <w:pStyle w:val="ListParagraph"/>
        <w:numPr>
          <w:ilvl w:val="0"/>
          <w:numId w:val="13"/>
        </w:numPr>
        <w:rPr>
          <w:rFonts w:ascii="Century Gothic" w:hAnsi="Century Gothic"/>
        </w:rPr>
      </w:pPr>
      <w:r w:rsidRPr="000C7D64">
        <w:rPr>
          <w:rFonts w:ascii="Century Gothic" w:hAnsi="Century Gothic"/>
          <w:b/>
          <w:bCs/>
        </w:rPr>
        <w:t xml:space="preserve">Call: </w:t>
      </w:r>
      <w:r w:rsidRPr="000C7D64">
        <w:rPr>
          <w:rFonts w:ascii="Century Gothic" w:hAnsi="Century Gothic"/>
        </w:rPr>
        <w:t>Guild’s toll-free #: 1-800-985-4027</w:t>
      </w:r>
    </w:p>
    <w:p w14:paraId="703D1D27" w14:textId="77777777" w:rsidR="000C7D64" w:rsidRPr="000C7D64" w:rsidRDefault="000C7D64" w:rsidP="000C7D64">
      <w:pPr>
        <w:pStyle w:val="ListParagraph"/>
        <w:numPr>
          <w:ilvl w:val="0"/>
          <w:numId w:val="13"/>
        </w:numPr>
        <w:rPr>
          <w:rFonts w:ascii="Century Gothic" w:hAnsi="Century Gothic"/>
        </w:rPr>
      </w:pPr>
      <w:r w:rsidRPr="000C7D64">
        <w:rPr>
          <w:rFonts w:ascii="Century Gothic" w:hAnsi="Century Gothic"/>
          <w:b/>
          <w:bCs/>
        </w:rPr>
        <w:lastRenderedPageBreak/>
        <w:t xml:space="preserve">Chat: </w:t>
      </w:r>
      <w:r w:rsidRPr="000C7D64">
        <w:rPr>
          <w:rFonts w:ascii="Century Gothic" w:hAnsi="Century Gothic"/>
        </w:rPr>
        <w:t>Live Chat (accessible once a student logs in to the Guild portal)</w:t>
      </w:r>
    </w:p>
    <w:p w14:paraId="1B9C8B8A" w14:textId="52E84038" w:rsidR="000C7D64" w:rsidRPr="000C7D64" w:rsidRDefault="000C7D64" w:rsidP="000C7D64">
      <w:pPr>
        <w:pStyle w:val="ListParagraph"/>
        <w:numPr>
          <w:ilvl w:val="0"/>
          <w:numId w:val="13"/>
        </w:numPr>
        <w:rPr>
          <w:rFonts w:ascii="Century Gothic" w:hAnsi="Century Gothic"/>
        </w:rPr>
      </w:pPr>
      <w:r w:rsidRPr="000C7D64">
        <w:rPr>
          <w:rFonts w:ascii="Century Gothic" w:hAnsi="Century Gothic"/>
          <w:b/>
          <w:bCs/>
        </w:rPr>
        <w:t xml:space="preserve">Submit: </w:t>
      </w:r>
      <w:r w:rsidRPr="000C7D64">
        <w:rPr>
          <w:rFonts w:ascii="Century Gothic" w:hAnsi="Century Gothic"/>
        </w:rPr>
        <w:t>Webform (</w:t>
      </w:r>
      <w:hyperlink r:id="rId10" w:history="1">
        <w:r w:rsidRPr="000C7D64">
          <w:rPr>
            <w:rStyle w:val="Hyperlink"/>
            <w:rFonts w:ascii="Century Gothic" w:hAnsi="Century Gothic"/>
          </w:rPr>
          <w:t>link</w:t>
        </w:r>
      </w:hyperlink>
      <w:r w:rsidRPr="000C7D64">
        <w:rPr>
          <w:rFonts w:ascii="Century Gothic" w:hAnsi="Century Gothic"/>
        </w:rPr>
        <w:t>) on Guild's Help Center</w:t>
      </w:r>
    </w:p>
    <w:p w14:paraId="5FA1E481" w14:textId="77777777" w:rsidR="000C7D64" w:rsidRPr="000C7D64" w:rsidRDefault="000C7D64" w:rsidP="000C7D64">
      <w:pPr>
        <w:rPr>
          <w:rFonts w:ascii="Century Gothic" w:hAnsi="Century Gothic"/>
        </w:rPr>
      </w:pPr>
      <w:r w:rsidRPr="000C7D64">
        <w:rPr>
          <w:rFonts w:ascii="Century Gothic" w:hAnsi="Century Gothic"/>
        </w:rPr>
        <w:t>Contact HR Service Now (888-691-5729 or HR Service Now) for questions related to policy, work commitment, appeals and financial rules.</w:t>
      </w:r>
    </w:p>
    <w:p w14:paraId="757295AB" w14:textId="41A54153" w:rsidR="000C7D64" w:rsidRPr="000C7D64" w:rsidRDefault="000C7D64" w:rsidP="000C7D64">
      <w:pPr>
        <w:rPr>
          <w:rFonts w:ascii="Century Gothic" w:hAnsi="Century Gothic"/>
        </w:rPr>
      </w:pPr>
      <w:r w:rsidRPr="000C7D64">
        <w:rPr>
          <w:rFonts w:ascii="Century Gothic" w:hAnsi="Century Gothic"/>
        </w:rPr>
        <w:t>Contact Internal Mobility (</w:t>
      </w:r>
      <w:hyperlink r:id="rId11" w:history="1">
        <w:r w:rsidRPr="000C7D64">
          <w:rPr>
            <w:rStyle w:val="Hyperlink"/>
            <w:rFonts w:ascii="Century Gothic" w:hAnsi="Century Gothic"/>
          </w:rPr>
          <w:t>internal-mobility@mercy.com</w:t>
        </w:r>
      </w:hyperlink>
      <w:r w:rsidRPr="000C7D64">
        <w:rPr>
          <w:rFonts w:ascii="Century Gothic" w:hAnsi="Century Gothic"/>
        </w:rPr>
        <w:t xml:space="preserve"> or via HR Service Now) for planning your next career move or preparing for applied learning experiences after you complete your program.</w:t>
      </w:r>
    </w:p>
    <w:p w14:paraId="7F8525A8" w14:textId="47E4C931" w:rsidR="00010A33" w:rsidRDefault="000C7D64" w:rsidP="000C7D64">
      <w:pPr>
        <w:rPr>
          <w:rFonts w:ascii="Century Gothic" w:hAnsi="Century Gothic"/>
        </w:rPr>
      </w:pPr>
      <w:r w:rsidRPr="000C7D64">
        <w:rPr>
          <w:rFonts w:ascii="Century Gothic" w:hAnsi="Century Gothic"/>
        </w:rPr>
        <w:t>Search education benefits in HR Service Now to find a copy of the policy, benefit overview, guidance on submitting reimbursement and more</w:t>
      </w:r>
      <w:r w:rsidR="00010A33">
        <w:rPr>
          <w:rFonts w:ascii="Century Gothic" w:hAnsi="Century Gothic"/>
        </w:rPr>
        <w:t>.</w:t>
      </w:r>
    </w:p>
    <w:p w14:paraId="0C010469" w14:textId="78F0115F" w:rsidR="00010A33" w:rsidRPr="004F5EEA" w:rsidRDefault="00F81D02" w:rsidP="00010A33">
      <w:pPr>
        <w:pStyle w:val="Heading2"/>
        <w:rPr>
          <w:rFonts w:ascii="Century Gothic" w:hAnsi="Century Gothic"/>
          <w:b/>
          <w:bCs/>
          <w:color w:val="9F5FA6"/>
          <w:sz w:val="24"/>
          <w:szCs w:val="24"/>
        </w:rPr>
      </w:pPr>
      <w:r w:rsidRPr="00F81D02">
        <w:rPr>
          <w:rFonts w:ascii="Century Gothic" w:hAnsi="Century Gothic"/>
          <w:b/>
          <w:bCs/>
          <w:color w:val="9F5FA6"/>
          <w:sz w:val="24"/>
          <w:szCs w:val="24"/>
        </w:rPr>
        <w:t>I'm not using education benefits today but I'm thinking about going back to school. Who should I contact for next steps</w:t>
      </w:r>
      <w:r w:rsidR="00010A33" w:rsidRPr="006C16C3">
        <w:rPr>
          <w:rFonts w:ascii="Century Gothic" w:hAnsi="Century Gothic"/>
          <w:b/>
          <w:bCs/>
          <w:color w:val="9F5FA6"/>
          <w:sz w:val="24"/>
          <w:szCs w:val="24"/>
        </w:rPr>
        <w:t>?</w:t>
      </w:r>
    </w:p>
    <w:p w14:paraId="590C1ADF" w14:textId="11FE8CBE" w:rsidR="00D877CC" w:rsidRPr="004F5EEA" w:rsidRDefault="004A6B91" w:rsidP="006C16C3">
      <w:pPr>
        <w:rPr>
          <w:rFonts w:ascii="Century Gothic" w:hAnsi="Century Gothic"/>
        </w:rPr>
      </w:pPr>
      <w:r w:rsidRPr="004A6B91">
        <w:rPr>
          <w:rFonts w:ascii="Century Gothic" w:hAnsi="Century Gothic"/>
        </w:rPr>
        <w:t>Start by contacting Guild to explore your options and create a learning plan. Once you’re enrolled or nearing completion, Internal Mobility can help you take your next step within RSFH</w:t>
      </w:r>
      <w:r w:rsidR="00010A33">
        <w:rPr>
          <w:rFonts w:ascii="Century Gothic" w:hAnsi="Century Gothic"/>
        </w:rPr>
        <w:t>.</w:t>
      </w:r>
    </w:p>
    <w:sectPr w:rsidR="00D877CC" w:rsidRPr="004F5EEA" w:rsidSect="007009C8">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F7950" w14:textId="77777777" w:rsidR="00A06582" w:rsidRDefault="00A06582" w:rsidP="00456F50">
      <w:pPr>
        <w:spacing w:after="0" w:line="240" w:lineRule="auto"/>
      </w:pPr>
      <w:r>
        <w:separator/>
      </w:r>
    </w:p>
  </w:endnote>
  <w:endnote w:type="continuationSeparator" w:id="0">
    <w:p w14:paraId="1D6EB454" w14:textId="77777777" w:rsidR="00A06582" w:rsidRDefault="00A06582" w:rsidP="00456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B26D1" w14:textId="77777777" w:rsidR="00A06582" w:rsidRDefault="00A06582" w:rsidP="00456F50">
      <w:pPr>
        <w:spacing w:after="0" w:line="240" w:lineRule="auto"/>
      </w:pPr>
      <w:r>
        <w:separator/>
      </w:r>
    </w:p>
  </w:footnote>
  <w:footnote w:type="continuationSeparator" w:id="0">
    <w:p w14:paraId="010E406E" w14:textId="77777777" w:rsidR="00A06582" w:rsidRDefault="00A06582" w:rsidP="00456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5"/>
      <w:gridCol w:w="5665"/>
    </w:tblGrid>
    <w:tr w:rsidR="006C16C3" w:rsidRPr="004F5EEA" w14:paraId="6741B626" w14:textId="77777777" w:rsidTr="006C16C3">
      <w:tc>
        <w:tcPr>
          <w:tcW w:w="3685" w:type="dxa"/>
        </w:tcPr>
        <w:p w14:paraId="66066832" w14:textId="5D64D1B8" w:rsidR="006C16C3" w:rsidRPr="004F5EEA" w:rsidRDefault="006C16C3" w:rsidP="006C16C3">
          <w:pPr>
            <w:pStyle w:val="Header"/>
            <w:rPr>
              <w:rFonts w:ascii="Century Gothic" w:hAnsi="Century Gothic"/>
            </w:rPr>
          </w:pPr>
          <w:r w:rsidRPr="004F5EEA">
            <w:rPr>
              <w:rFonts w:ascii="Century Gothic" w:hAnsi="Century Gothic"/>
              <w:noProof/>
            </w:rPr>
            <w:drawing>
              <wp:inline distT="0" distB="0" distL="0" distR="0" wp14:anchorId="7FCE75DA" wp14:editId="47A8D2C6">
                <wp:extent cx="1781175" cy="272504"/>
                <wp:effectExtent l="0" t="0" r="0" b="0"/>
                <wp:docPr id="1946512603" name="Picture 2" descr="A black background with grey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95669" name="Picture 2" descr="A black background with grey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56145" cy="283974"/>
                        </a:xfrm>
                        <a:prstGeom prst="rect">
                          <a:avLst/>
                        </a:prstGeom>
                      </pic:spPr>
                    </pic:pic>
                  </a:graphicData>
                </a:graphic>
              </wp:inline>
            </w:drawing>
          </w:r>
        </w:p>
      </w:tc>
      <w:tc>
        <w:tcPr>
          <w:tcW w:w="5665" w:type="dxa"/>
        </w:tcPr>
        <w:p w14:paraId="4D5BAE98" w14:textId="77777777" w:rsidR="00CF3036" w:rsidRPr="008A586B" w:rsidRDefault="00CF3036" w:rsidP="00CF3036">
          <w:pPr>
            <w:pStyle w:val="Header"/>
            <w:jc w:val="right"/>
            <w:rPr>
              <w:rFonts w:ascii="Century Gothic" w:hAnsi="Century Gothic"/>
              <w:b/>
              <w:bCs/>
            </w:rPr>
          </w:pPr>
          <w:r w:rsidRPr="008A586B">
            <w:rPr>
              <w:rFonts w:ascii="Century Gothic" w:hAnsi="Century Gothic"/>
              <w:b/>
              <w:bCs/>
            </w:rPr>
            <w:t>FAQ: Education benefits in 2026</w:t>
          </w:r>
        </w:p>
        <w:p w14:paraId="1ED833A3" w14:textId="250BAD27" w:rsidR="006C16C3" w:rsidRPr="004F5EEA" w:rsidRDefault="006C16C3" w:rsidP="006C16C3">
          <w:pPr>
            <w:pStyle w:val="Header"/>
            <w:jc w:val="right"/>
            <w:rPr>
              <w:rFonts w:ascii="Century Gothic" w:hAnsi="Century Gothic"/>
            </w:rPr>
          </w:pPr>
        </w:p>
      </w:tc>
    </w:tr>
  </w:tbl>
  <w:p w14:paraId="3A111B05" w14:textId="77777777" w:rsidR="00456F50" w:rsidRPr="004F5EEA" w:rsidRDefault="00456F50" w:rsidP="006C16C3">
    <w:pPr>
      <w:pStyle w:val="Header"/>
      <w:rPr>
        <w:rFonts w:ascii="Century Gothic" w:hAnsi="Century Gothic"/>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5"/>
      <w:gridCol w:w="5665"/>
    </w:tblGrid>
    <w:tr w:rsidR="007009C8" w:rsidRPr="004F5EEA" w14:paraId="6C0943CE" w14:textId="77777777" w:rsidTr="00896246">
      <w:tc>
        <w:tcPr>
          <w:tcW w:w="3685" w:type="dxa"/>
        </w:tcPr>
        <w:p w14:paraId="2DA2DD99" w14:textId="77777777" w:rsidR="007009C8" w:rsidRPr="004F5EEA" w:rsidRDefault="007009C8" w:rsidP="007009C8">
          <w:pPr>
            <w:pStyle w:val="Header"/>
            <w:rPr>
              <w:rFonts w:ascii="Century Gothic" w:hAnsi="Century Gothic"/>
            </w:rPr>
          </w:pPr>
          <w:r w:rsidRPr="004F5EEA">
            <w:rPr>
              <w:rFonts w:ascii="Century Gothic" w:hAnsi="Century Gothic"/>
              <w:noProof/>
            </w:rPr>
            <w:drawing>
              <wp:inline distT="0" distB="0" distL="0" distR="0" wp14:anchorId="3A7B2734" wp14:editId="219BC8FD">
                <wp:extent cx="1781175" cy="272504"/>
                <wp:effectExtent l="0" t="0" r="0" b="0"/>
                <wp:docPr id="880095669" name="Picture 2" descr="A black background with grey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95669" name="Picture 2" descr="A black background with grey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56145" cy="283974"/>
                        </a:xfrm>
                        <a:prstGeom prst="rect">
                          <a:avLst/>
                        </a:prstGeom>
                      </pic:spPr>
                    </pic:pic>
                  </a:graphicData>
                </a:graphic>
              </wp:inline>
            </w:drawing>
          </w:r>
        </w:p>
      </w:tc>
      <w:tc>
        <w:tcPr>
          <w:tcW w:w="5665" w:type="dxa"/>
        </w:tcPr>
        <w:p w14:paraId="3A6B8191" w14:textId="77777777" w:rsidR="008A586B" w:rsidRPr="008A586B" w:rsidRDefault="008A586B" w:rsidP="008A586B">
          <w:pPr>
            <w:pStyle w:val="Header"/>
            <w:jc w:val="right"/>
            <w:rPr>
              <w:rFonts w:ascii="Century Gothic" w:hAnsi="Century Gothic"/>
              <w:b/>
              <w:bCs/>
            </w:rPr>
          </w:pPr>
          <w:r w:rsidRPr="008A586B">
            <w:rPr>
              <w:rFonts w:ascii="Century Gothic" w:hAnsi="Century Gothic"/>
              <w:b/>
              <w:bCs/>
            </w:rPr>
            <w:t>FAQ: Education benefits in 2026</w:t>
          </w:r>
        </w:p>
        <w:p w14:paraId="3A6FBF43" w14:textId="72193838" w:rsidR="007009C8" w:rsidRPr="004F5EEA" w:rsidRDefault="008A586B" w:rsidP="007009C8">
          <w:pPr>
            <w:pStyle w:val="Header"/>
            <w:jc w:val="right"/>
            <w:rPr>
              <w:rFonts w:ascii="Century Gothic" w:hAnsi="Century Gothic"/>
            </w:rPr>
          </w:pPr>
          <w:r>
            <w:rPr>
              <w:rFonts w:ascii="Century Gothic" w:hAnsi="Century Gothic"/>
            </w:rPr>
            <w:t xml:space="preserve">REV </w:t>
          </w:r>
          <w:r w:rsidR="002242A4">
            <w:rPr>
              <w:rFonts w:ascii="Century Gothic" w:hAnsi="Century Gothic"/>
            </w:rPr>
            <w:t>1-</w:t>
          </w:r>
          <w:r w:rsidR="00CD53D1">
            <w:rPr>
              <w:rFonts w:ascii="Century Gothic" w:hAnsi="Century Gothic"/>
            </w:rPr>
            <w:t>30</w:t>
          </w:r>
          <w:r w:rsidR="002242A4">
            <w:rPr>
              <w:rFonts w:ascii="Century Gothic" w:hAnsi="Century Gothic"/>
            </w:rPr>
            <w:t>-</w:t>
          </w:r>
          <w:r w:rsidR="007009C8" w:rsidRPr="004F5EEA">
            <w:rPr>
              <w:rFonts w:ascii="Century Gothic" w:hAnsi="Century Gothic"/>
            </w:rPr>
            <w:t>202</w:t>
          </w:r>
          <w:r w:rsidR="002242A4">
            <w:rPr>
              <w:rFonts w:ascii="Century Gothic" w:hAnsi="Century Gothic"/>
            </w:rPr>
            <w:t>6</w:t>
          </w:r>
        </w:p>
      </w:tc>
    </w:tr>
  </w:tbl>
  <w:p w14:paraId="5BAC6EC7" w14:textId="77777777" w:rsidR="007009C8" w:rsidRDefault="00700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C61"/>
    <w:multiLevelType w:val="multilevel"/>
    <w:tmpl w:val="F4B67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0023F"/>
    <w:multiLevelType w:val="hybridMultilevel"/>
    <w:tmpl w:val="941C78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692CC4"/>
    <w:multiLevelType w:val="hybridMultilevel"/>
    <w:tmpl w:val="B598F5E4"/>
    <w:lvl w:ilvl="0" w:tplc="8E8644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42391"/>
    <w:multiLevelType w:val="hybridMultilevel"/>
    <w:tmpl w:val="43987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6460B4"/>
    <w:multiLevelType w:val="hybridMultilevel"/>
    <w:tmpl w:val="B6E87C1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15:restartNumberingAfterBreak="0">
    <w:nsid w:val="24255EA0"/>
    <w:multiLevelType w:val="hybridMultilevel"/>
    <w:tmpl w:val="D08AD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58110D"/>
    <w:multiLevelType w:val="hybridMultilevel"/>
    <w:tmpl w:val="8F704A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4CA4102"/>
    <w:multiLevelType w:val="hybridMultilevel"/>
    <w:tmpl w:val="84C2780A"/>
    <w:lvl w:ilvl="0" w:tplc="3F9485A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601C7"/>
    <w:multiLevelType w:val="hybridMultilevel"/>
    <w:tmpl w:val="A41427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D486F5F"/>
    <w:multiLevelType w:val="hybridMultilevel"/>
    <w:tmpl w:val="DBA0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E9155E"/>
    <w:multiLevelType w:val="hybridMultilevel"/>
    <w:tmpl w:val="0B6A591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1" w15:restartNumberingAfterBreak="0">
    <w:nsid w:val="73A55EA2"/>
    <w:multiLevelType w:val="hybridMultilevel"/>
    <w:tmpl w:val="90FCA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F73948"/>
    <w:multiLevelType w:val="hybridMultilevel"/>
    <w:tmpl w:val="593A7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2570200">
    <w:abstractNumId w:val="2"/>
  </w:num>
  <w:num w:numId="2" w16cid:durableId="1531989447">
    <w:abstractNumId w:val="7"/>
  </w:num>
  <w:num w:numId="3" w16cid:durableId="1243755822">
    <w:abstractNumId w:val="12"/>
  </w:num>
  <w:num w:numId="4" w16cid:durableId="1066222319">
    <w:abstractNumId w:val="3"/>
  </w:num>
  <w:num w:numId="5" w16cid:durableId="936475231">
    <w:abstractNumId w:val="9"/>
  </w:num>
  <w:num w:numId="6" w16cid:durableId="1968777682">
    <w:abstractNumId w:val="5"/>
  </w:num>
  <w:num w:numId="7" w16cid:durableId="1566381461">
    <w:abstractNumId w:val="6"/>
  </w:num>
  <w:num w:numId="8" w16cid:durableId="1516729740">
    <w:abstractNumId w:val="8"/>
  </w:num>
  <w:num w:numId="9" w16cid:durableId="592124525">
    <w:abstractNumId w:val="11"/>
  </w:num>
  <w:num w:numId="10" w16cid:durableId="198468380">
    <w:abstractNumId w:val="10"/>
  </w:num>
  <w:num w:numId="11" w16cid:durableId="448085683">
    <w:abstractNumId w:val="4"/>
  </w:num>
  <w:num w:numId="12" w16cid:durableId="72161886">
    <w:abstractNumId w:val="0"/>
  </w:num>
  <w:num w:numId="13" w16cid:durableId="2034768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50"/>
    <w:rsid w:val="00010A33"/>
    <w:rsid w:val="00011497"/>
    <w:rsid w:val="000132C0"/>
    <w:rsid w:val="000B42CF"/>
    <w:rsid w:val="000C7D64"/>
    <w:rsid w:val="000D6BEC"/>
    <w:rsid w:val="00112C34"/>
    <w:rsid w:val="00150ECC"/>
    <w:rsid w:val="002242A4"/>
    <w:rsid w:val="00322829"/>
    <w:rsid w:val="00392E97"/>
    <w:rsid w:val="003930F6"/>
    <w:rsid w:val="003E5C55"/>
    <w:rsid w:val="00455B0C"/>
    <w:rsid w:val="00456F50"/>
    <w:rsid w:val="004761B0"/>
    <w:rsid w:val="004A6B91"/>
    <w:rsid w:val="004A7BD2"/>
    <w:rsid w:val="004F5EEA"/>
    <w:rsid w:val="005611C1"/>
    <w:rsid w:val="005A2AB0"/>
    <w:rsid w:val="0065705F"/>
    <w:rsid w:val="006B0258"/>
    <w:rsid w:val="006C16C3"/>
    <w:rsid w:val="007009C8"/>
    <w:rsid w:val="00752841"/>
    <w:rsid w:val="007E3238"/>
    <w:rsid w:val="008A3FFA"/>
    <w:rsid w:val="008A586B"/>
    <w:rsid w:val="00902EF7"/>
    <w:rsid w:val="0092141D"/>
    <w:rsid w:val="0092263E"/>
    <w:rsid w:val="00991ADE"/>
    <w:rsid w:val="009C43A3"/>
    <w:rsid w:val="009D4204"/>
    <w:rsid w:val="00A06582"/>
    <w:rsid w:val="00A10AFF"/>
    <w:rsid w:val="00B81F00"/>
    <w:rsid w:val="00B8312F"/>
    <w:rsid w:val="00BA290A"/>
    <w:rsid w:val="00BC0E25"/>
    <w:rsid w:val="00C32B9B"/>
    <w:rsid w:val="00C8454C"/>
    <w:rsid w:val="00CB1C0B"/>
    <w:rsid w:val="00CB6641"/>
    <w:rsid w:val="00CD53D1"/>
    <w:rsid w:val="00CF240F"/>
    <w:rsid w:val="00CF3036"/>
    <w:rsid w:val="00CF7D32"/>
    <w:rsid w:val="00D877CC"/>
    <w:rsid w:val="00DE4500"/>
    <w:rsid w:val="00DF4448"/>
    <w:rsid w:val="00EF3F85"/>
    <w:rsid w:val="00F16520"/>
    <w:rsid w:val="00F34325"/>
    <w:rsid w:val="00F81D02"/>
    <w:rsid w:val="00FC177B"/>
    <w:rsid w:val="00FE7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27876"/>
  <w15:chartTrackingRefBased/>
  <w15:docId w15:val="{884437DB-ABE8-42A9-878B-BDE02DAD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F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56F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F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F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F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F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F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F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F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F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56F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F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F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F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F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F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F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F50"/>
    <w:rPr>
      <w:rFonts w:eastAsiaTheme="majorEastAsia" w:cstheme="majorBidi"/>
      <w:color w:val="272727" w:themeColor="text1" w:themeTint="D8"/>
    </w:rPr>
  </w:style>
  <w:style w:type="paragraph" w:styleId="Title">
    <w:name w:val="Title"/>
    <w:basedOn w:val="Normal"/>
    <w:next w:val="Normal"/>
    <w:link w:val="TitleChar"/>
    <w:uiPriority w:val="10"/>
    <w:qFormat/>
    <w:rsid w:val="00456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F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F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F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F50"/>
    <w:pPr>
      <w:spacing w:before="160"/>
      <w:jc w:val="center"/>
    </w:pPr>
    <w:rPr>
      <w:i/>
      <w:iCs/>
      <w:color w:val="404040" w:themeColor="text1" w:themeTint="BF"/>
    </w:rPr>
  </w:style>
  <w:style w:type="character" w:customStyle="1" w:styleId="QuoteChar">
    <w:name w:val="Quote Char"/>
    <w:basedOn w:val="DefaultParagraphFont"/>
    <w:link w:val="Quote"/>
    <w:uiPriority w:val="29"/>
    <w:rsid w:val="00456F50"/>
    <w:rPr>
      <w:i/>
      <w:iCs/>
      <w:color w:val="404040" w:themeColor="text1" w:themeTint="BF"/>
    </w:rPr>
  </w:style>
  <w:style w:type="paragraph" w:styleId="ListParagraph">
    <w:name w:val="List Paragraph"/>
    <w:basedOn w:val="Normal"/>
    <w:uiPriority w:val="34"/>
    <w:qFormat/>
    <w:rsid w:val="00456F50"/>
    <w:pPr>
      <w:ind w:left="720"/>
      <w:contextualSpacing/>
    </w:pPr>
  </w:style>
  <w:style w:type="character" w:styleId="IntenseEmphasis">
    <w:name w:val="Intense Emphasis"/>
    <w:basedOn w:val="DefaultParagraphFont"/>
    <w:uiPriority w:val="21"/>
    <w:qFormat/>
    <w:rsid w:val="00456F50"/>
    <w:rPr>
      <w:i/>
      <w:iCs/>
      <w:color w:val="0F4761" w:themeColor="accent1" w:themeShade="BF"/>
    </w:rPr>
  </w:style>
  <w:style w:type="paragraph" w:styleId="IntenseQuote">
    <w:name w:val="Intense Quote"/>
    <w:basedOn w:val="Normal"/>
    <w:next w:val="Normal"/>
    <w:link w:val="IntenseQuoteChar"/>
    <w:uiPriority w:val="30"/>
    <w:qFormat/>
    <w:rsid w:val="00456F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F50"/>
    <w:rPr>
      <w:i/>
      <w:iCs/>
      <w:color w:val="0F4761" w:themeColor="accent1" w:themeShade="BF"/>
    </w:rPr>
  </w:style>
  <w:style w:type="character" w:styleId="IntenseReference">
    <w:name w:val="Intense Reference"/>
    <w:basedOn w:val="DefaultParagraphFont"/>
    <w:uiPriority w:val="32"/>
    <w:qFormat/>
    <w:rsid w:val="00456F50"/>
    <w:rPr>
      <w:b/>
      <w:bCs/>
      <w:smallCaps/>
      <w:color w:val="0F4761" w:themeColor="accent1" w:themeShade="BF"/>
      <w:spacing w:val="5"/>
    </w:rPr>
  </w:style>
  <w:style w:type="paragraph" w:styleId="Header">
    <w:name w:val="header"/>
    <w:basedOn w:val="Normal"/>
    <w:link w:val="HeaderChar"/>
    <w:uiPriority w:val="99"/>
    <w:unhideWhenUsed/>
    <w:rsid w:val="00456F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F50"/>
  </w:style>
  <w:style w:type="paragraph" w:styleId="Footer">
    <w:name w:val="footer"/>
    <w:basedOn w:val="Normal"/>
    <w:link w:val="FooterChar"/>
    <w:uiPriority w:val="99"/>
    <w:unhideWhenUsed/>
    <w:rsid w:val="00456F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F50"/>
  </w:style>
  <w:style w:type="table" w:styleId="TableGrid">
    <w:name w:val="Table Grid"/>
    <w:basedOn w:val="TableNormal"/>
    <w:uiPriority w:val="39"/>
    <w:rsid w:val="00456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6F50"/>
    <w:rPr>
      <w:color w:val="467886" w:themeColor="hyperlink"/>
      <w:u w:val="single"/>
    </w:rPr>
  </w:style>
  <w:style w:type="character" w:styleId="UnresolvedMention">
    <w:name w:val="Unresolved Mention"/>
    <w:basedOn w:val="DefaultParagraphFont"/>
    <w:uiPriority w:val="99"/>
    <w:semiHidden/>
    <w:unhideWhenUsed/>
    <w:rsid w:val="00456F50"/>
    <w:rPr>
      <w:color w:val="605E5C"/>
      <w:shd w:val="clear" w:color="auto" w:fill="E1DFDD"/>
    </w:rPr>
  </w:style>
  <w:style w:type="paragraph" w:styleId="Revision">
    <w:name w:val="Revision"/>
    <w:hidden/>
    <w:uiPriority w:val="99"/>
    <w:semiHidden/>
    <w:rsid w:val="000132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753519">
      <w:bodyDiv w:val="1"/>
      <w:marLeft w:val="0"/>
      <w:marRight w:val="0"/>
      <w:marTop w:val="0"/>
      <w:marBottom w:val="0"/>
      <w:divBdr>
        <w:top w:val="none" w:sz="0" w:space="0" w:color="auto"/>
        <w:left w:val="none" w:sz="0" w:space="0" w:color="auto"/>
        <w:bottom w:val="none" w:sz="0" w:space="0" w:color="auto"/>
        <w:right w:val="none" w:sz="0" w:space="0" w:color="auto"/>
      </w:divBdr>
      <w:divsChild>
        <w:div w:id="416096479">
          <w:marLeft w:val="0"/>
          <w:marRight w:val="0"/>
          <w:marTop w:val="0"/>
          <w:marBottom w:val="0"/>
          <w:divBdr>
            <w:top w:val="none" w:sz="0" w:space="0" w:color="auto"/>
            <w:left w:val="none" w:sz="0" w:space="0" w:color="auto"/>
            <w:bottom w:val="none" w:sz="0" w:space="0" w:color="auto"/>
            <w:right w:val="none" w:sz="0" w:space="0" w:color="auto"/>
          </w:divBdr>
        </w:div>
        <w:div w:id="158498630">
          <w:marLeft w:val="0"/>
          <w:marRight w:val="0"/>
          <w:marTop w:val="0"/>
          <w:marBottom w:val="0"/>
          <w:divBdr>
            <w:top w:val="none" w:sz="0" w:space="0" w:color="auto"/>
            <w:left w:val="none" w:sz="0" w:space="0" w:color="auto"/>
            <w:bottom w:val="none" w:sz="0" w:space="0" w:color="auto"/>
            <w:right w:val="none" w:sz="0" w:space="0" w:color="auto"/>
          </w:divBdr>
          <w:divsChild>
            <w:div w:id="99839551">
              <w:marLeft w:val="-75"/>
              <w:marRight w:val="0"/>
              <w:marTop w:val="30"/>
              <w:marBottom w:val="30"/>
              <w:divBdr>
                <w:top w:val="none" w:sz="0" w:space="0" w:color="auto"/>
                <w:left w:val="none" w:sz="0" w:space="0" w:color="auto"/>
                <w:bottom w:val="none" w:sz="0" w:space="0" w:color="auto"/>
                <w:right w:val="none" w:sz="0" w:space="0" w:color="auto"/>
              </w:divBdr>
              <w:divsChild>
                <w:div w:id="982123050">
                  <w:marLeft w:val="0"/>
                  <w:marRight w:val="0"/>
                  <w:marTop w:val="0"/>
                  <w:marBottom w:val="0"/>
                  <w:divBdr>
                    <w:top w:val="none" w:sz="0" w:space="0" w:color="auto"/>
                    <w:left w:val="none" w:sz="0" w:space="0" w:color="auto"/>
                    <w:bottom w:val="none" w:sz="0" w:space="0" w:color="auto"/>
                    <w:right w:val="none" w:sz="0" w:space="0" w:color="auto"/>
                  </w:divBdr>
                  <w:divsChild>
                    <w:div w:id="454641537">
                      <w:marLeft w:val="0"/>
                      <w:marRight w:val="0"/>
                      <w:marTop w:val="0"/>
                      <w:marBottom w:val="0"/>
                      <w:divBdr>
                        <w:top w:val="none" w:sz="0" w:space="0" w:color="auto"/>
                        <w:left w:val="none" w:sz="0" w:space="0" w:color="auto"/>
                        <w:bottom w:val="none" w:sz="0" w:space="0" w:color="auto"/>
                        <w:right w:val="none" w:sz="0" w:space="0" w:color="auto"/>
                      </w:divBdr>
                    </w:div>
                  </w:divsChild>
                </w:div>
                <w:div w:id="1839535186">
                  <w:marLeft w:val="0"/>
                  <w:marRight w:val="0"/>
                  <w:marTop w:val="0"/>
                  <w:marBottom w:val="0"/>
                  <w:divBdr>
                    <w:top w:val="none" w:sz="0" w:space="0" w:color="auto"/>
                    <w:left w:val="none" w:sz="0" w:space="0" w:color="auto"/>
                    <w:bottom w:val="none" w:sz="0" w:space="0" w:color="auto"/>
                    <w:right w:val="none" w:sz="0" w:space="0" w:color="auto"/>
                  </w:divBdr>
                  <w:divsChild>
                    <w:div w:id="14187584">
                      <w:marLeft w:val="0"/>
                      <w:marRight w:val="0"/>
                      <w:marTop w:val="0"/>
                      <w:marBottom w:val="0"/>
                      <w:divBdr>
                        <w:top w:val="none" w:sz="0" w:space="0" w:color="auto"/>
                        <w:left w:val="none" w:sz="0" w:space="0" w:color="auto"/>
                        <w:bottom w:val="none" w:sz="0" w:space="0" w:color="auto"/>
                        <w:right w:val="none" w:sz="0" w:space="0" w:color="auto"/>
                      </w:divBdr>
                    </w:div>
                    <w:div w:id="153249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ternal-mobility@mercy.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nam11.safelinks.protection.outlook.com/?url=https%3A%2F%2Fguildeducation3.my.site.com%2Fhelpcenter%2Fs%2Fcontactsupport&amp;data=05%7C02%7Cramercado%40mercy.com%7C1c1f85389bad42b6bcd708de4c6ed11d%7Cbb84ecdc9a5141eb880c178c5153d561%7C0%7C0%7C639032236048169451%7CUnknown%7CTWFpbGZsb3d8eyJFbXB0eU1hcGkiOnRydWUsIlYiOiIwLjAuMDAwMCIsIlAiOiJXaW4zMiIsIkFOIjoiTWFpbCIsIldUIjoyfQ%3D%3D%7C0%7C%7C%7C&amp;sdata=ElWul38VPJ0JVo9knWTc0fUEMxBG32P2YJSG5sddrs8%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945F79D1BC184C8C44512CB6FC5384" ma:contentTypeVersion="16" ma:contentTypeDescription="Create a new document." ma:contentTypeScope="" ma:versionID="9a076be234462929ba6bd5962cf24a00">
  <xsd:schema xmlns:xsd="http://www.w3.org/2001/XMLSchema" xmlns:xs="http://www.w3.org/2001/XMLSchema" xmlns:p="http://schemas.microsoft.com/office/2006/metadata/properties" xmlns:ns2="29520a7f-ea83-4411-aa89-375fda2a749a" xmlns:ns3="6f51b7aa-635c-4c19-abad-5820e903cab2" targetNamespace="http://schemas.microsoft.com/office/2006/metadata/properties" ma:root="true" ma:fieldsID="f3f897804c2a18d0443529a835311d6c" ns2:_="" ns3:_="">
    <xsd:import namespace="29520a7f-ea83-4411-aa89-375fda2a749a"/>
    <xsd:import namespace="6f51b7aa-635c-4c19-abad-5820e903ca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20a7f-ea83-4411-aa89-375fda2a74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224240c-4609-4b0a-b7bd-5761849cecf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51b7aa-635c-4c19-abad-5820e903ca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ac7f06a-495e-4cf7-959a-431202d0bca7}" ma:internalName="TaxCatchAll" ma:showField="CatchAllData" ma:web="6f51b7aa-635c-4c19-abad-5820e903c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f51b7aa-635c-4c19-abad-5820e903cab2" xsi:nil="true"/>
    <lcf76f155ced4ddcb4097134ff3c332f xmlns="29520a7f-ea83-4411-aa89-375fda2a749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16C45C-E08D-4E15-86F8-93CC231FF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20a7f-ea83-4411-aa89-375fda2a749a"/>
    <ds:schemaRef ds:uri="6f51b7aa-635c-4c19-abad-5820e903c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FB02E-7933-4600-A40C-42B75AF2AAC9}">
  <ds:schemaRefs>
    <ds:schemaRef ds:uri="http://schemas.microsoft.com/office/infopath/2007/PartnerControls"/>
    <ds:schemaRef ds:uri="http://purl.org/dc/terms/"/>
    <ds:schemaRef ds:uri="http://purl.org/dc/dcmitype/"/>
    <ds:schemaRef ds:uri="6f51b7aa-635c-4c19-abad-5820e903cab2"/>
    <ds:schemaRef ds:uri="http://schemas.microsoft.com/office/2006/documentManagement/types"/>
    <ds:schemaRef ds:uri="http://schemas.openxmlformats.org/package/2006/metadata/core-properties"/>
    <ds:schemaRef ds:uri="http://purl.org/dc/elements/1.1/"/>
    <ds:schemaRef ds:uri="29520a7f-ea83-4411-aa89-375fda2a749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E7EE4B1-3766-4CD2-9A88-D123C2EE3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RSFH</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Knapp, Andrew</dc:creator>
  <cp:keywords/>
  <dc:description/>
  <cp:lastModifiedBy>Knapp, Andrew</cp:lastModifiedBy>
  <cp:revision>39</cp:revision>
  <dcterms:created xsi:type="dcterms:W3CDTF">2025-10-29T20:08:00Z</dcterms:created>
  <dcterms:modified xsi:type="dcterms:W3CDTF">2026-02-04T19:21:00Z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0x010100CB945F79D1BC184C8C44512CB6FC5384</vt:lpwstr>
  </property>
  <property fmtid="{D5CDD505-2E9C-101B-9397-08002B2CF9AE}" pid="3" name="MediaServiceImageTags">
    <vt:lpwstr/>
  </property>
</Properties>
</file>